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ABE8" w14:textId="07DFF545" w:rsidR="00481599" w:rsidRPr="00481599" w:rsidRDefault="00481599" w:rsidP="00481599">
      <w:pPr>
        <w:jc w:val="center"/>
        <w:rPr>
          <w:rFonts w:ascii="Tahoma" w:hAnsi="Tahoma" w:cs="Tahoma"/>
          <w:b/>
          <w:sz w:val="24"/>
          <w:szCs w:val="24"/>
        </w:rPr>
      </w:pPr>
      <w:r w:rsidRPr="00481599">
        <w:rPr>
          <w:rFonts w:ascii="Tahoma" w:hAnsi="Tahoma" w:cs="Tahoma"/>
          <w:b/>
          <w:sz w:val="24"/>
          <w:szCs w:val="24"/>
        </w:rPr>
        <w:t>UZASADNIENIE</w:t>
      </w:r>
    </w:p>
    <w:p w14:paraId="55ADA524" w14:textId="28EC5BAA" w:rsidR="00481599" w:rsidRPr="00481599" w:rsidRDefault="00481599" w:rsidP="0048159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Komisja Śledcza powinna zbadać legalność, prawidłowość oraz celowość przypadków stosowania czynności operacyjno-rozpoznawczych w stosunku do polskich obywateli. Skala zjawiska inwigilowania obywateli jest coraz szerzej komentowana, a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działania służb specjalnych, Policji oraz prokuratury bulwersują opinię publiczną.  </w:t>
      </w:r>
    </w:p>
    <w:p w14:paraId="01A54952" w14:textId="289E307B" w:rsidR="00481599" w:rsidRPr="00481599" w:rsidRDefault="00481599" w:rsidP="0048159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Niepokojąco wyglądają dane z ostatnich lat, dotyczące przetwarzania przez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służby specjalne i policję danych telekomunikacyjnych, pocztowych oraz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internetowych. W 2022 r. uprawnione podmioty przetworzyły łącznie 1 830 528 danych, z czego 1 787 885 danych telekomunikacyjnych, 22 283 danych pocztowych, 20 360 danych internetowych.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1"/>
      </w:r>
      <w:r w:rsidRPr="00481599">
        <w:rPr>
          <w:rFonts w:ascii="Tahoma" w:hAnsi="Tahoma" w:cs="Tahoma"/>
          <w:sz w:val="24"/>
          <w:szCs w:val="24"/>
        </w:rPr>
        <w:t xml:space="preserve"> W 2021 r. uprawnione podmioty przetworzyły łącznie 1 857 501 danych, z czego 1 820 630 danych telekomunikacyjnych, 16 764 danych pocztowych, 20 107 danych internetowych.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2"/>
      </w:r>
      <w:r w:rsidRPr="00481599">
        <w:rPr>
          <w:rFonts w:ascii="Tahoma" w:hAnsi="Tahoma" w:cs="Tahoma"/>
          <w:sz w:val="24"/>
          <w:szCs w:val="24"/>
        </w:rPr>
        <w:t xml:space="preserve"> </w:t>
      </w:r>
    </w:p>
    <w:p w14:paraId="3CFA9034" w14:textId="77777777" w:rsidR="00481599" w:rsidRPr="00481599" w:rsidRDefault="00481599" w:rsidP="0048159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Równie niepokojąco wyglądają dane dot. liczby osób, wobec których kierowano wnioski o zarządzenie kontroli i utrwalanie rozmów lub wnioski o zarządzenie kontroli operacyjnej – w 2022 r. było to 6381 osób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3"/>
      </w:r>
      <w:r w:rsidRPr="00481599">
        <w:rPr>
          <w:rFonts w:ascii="Tahoma" w:hAnsi="Tahoma" w:cs="Tahoma"/>
          <w:sz w:val="24"/>
          <w:szCs w:val="24"/>
        </w:rPr>
        <w:t>, natomiast w 2021 r. liczba ta wynosiła 7071 osób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4"/>
      </w:r>
      <w:r w:rsidRPr="00481599">
        <w:rPr>
          <w:rFonts w:ascii="Tahoma" w:hAnsi="Tahoma" w:cs="Tahoma"/>
          <w:sz w:val="24"/>
          <w:szCs w:val="24"/>
        </w:rPr>
        <w:t xml:space="preserve">. </w:t>
      </w:r>
    </w:p>
    <w:p w14:paraId="737AE452" w14:textId="1F226FC2" w:rsidR="00481599" w:rsidRPr="00481599" w:rsidRDefault="00481599" w:rsidP="00481599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Konkretna skala występowania zjawiska, na przestrzeni okresu wskazanego w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treści uchwały, jest trudna do oszacowania. W licznych doniesieniach medialnych pojawiają się informacje na temat możliwości stosowania podsłuchów oraz korzystania z zaawansowanego oprogramowania lub systemu do przechwytywania danych z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telekomunikacyjnych urządzeń końcowych w stosunku do osób podlegających ustawowo chronionej tajemnicy zawodowej – m.in. adwokatów, dziennikarzy, kontrolerów Najwyższej Izby Kontroli, prokuratorów. Sam problem stosowania czynności operacyjno-rozpoznawczych może dotyczyć ogromnej liczby obywateli. Znane są przypadki wycieku prywatnej korespondencji do mediów przed postawieniem</w:t>
      </w:r>
    </w:p>
    <w:p w14:paraId="4C960364" w14:textId="35291D1D" w:rsidR="00481599" w:rsidRPr="00481599" w:rsidRDefault="00481599" w:rsidP="0048159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lastRenderedPageBreak/>
        <w:t>zarzutów, skierowaniem aktu oskarżenia do sądu lub wydaniem prawomocnego orzeczenia w sprawie</w:t>
      </w:r>
      <w:r w:rsidR="00F2297E">
        <w:rPr>
          <w:rFonts w:ascii="Tahoma" w:hAnsi="Tahoma" w:cs="Tahoma"/>
          <w:sz w:val="24"/>
          <w:szCs w:val="24"/>
        </w:rPr>
        <w:t xml:space="preserve"> wobec osób, które były przedmiotem operacyjnego rozpoznania</w:t>
      </w:r>
      <w:r w:rsidRPr="00481599">
        <w:rPr>
          <w:rFonts w:ascii="Tahoma" w:hAnsi="Tahoma" w:cs="Tahoma"/>
          <w:sz w:val="24"/>
          <w:szCs w:val="24"/>
        </w:rPr>
        <w:t xml:space="preserve">. Takie działanie może pokazywać, że czynności operacyjno-rozpoznawcze podejmowane są w celu zbierania informacji, głównie </w:t>
      </w:r>
      <w:proofErr w:type="spellStart"/>
      <w:r w:rsidRPr="00481599">
        <w:rPr>
          <w:rFonts w:ascii="Tahoma" w:hAnsi="Tahoma" w:cs="Tahoma"/>
          <w:sz w:val="24"/>
          <w:szCs w:val="24"/>
        </w:rPr>
        <w:t>kompromatów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na temat danej osoby, a nie w ścisłym związku z przeciwdziałaniem przestępczości.  </w:t>
      </w:r>
    </w:p>
    <w:p w14:paraId="320CF8DB" w14:textId="3A4F97CC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Opisywane postępowanie służb może naruszać art. 47, art. 49 oraz art. 51 Konstytucji Rzeczypospolitej</w:t>
      </w:r>
      <w:r w:rsidR="00E05EAC">
        <w:rPr>
          <w:rFonts w:ascii="Tahoma" w:hAnsi="Tahoma" w:cs="Tahoma"/>
          <w:sz w:val="24"/>
          <w:szCs w:val="24"/>
        </w:rPr>
        <w:t xml:space="preserve"> Polskiej</w:t>
      </w:r>
      <w:r w:rsidRPr="00481599">
        <w:rPr>
          <w:rFonts w:ascii="Tahoma" w:hAnsi="Tahoma" w:cs="Tahoma"/>
          <w:sz w:val="24"/>
          <w:szCs w:val="24"/>
        </w:rPr>
        <w:t>. Zgodnie z brzmieniem tych przepisów każdy ma prawo do ochrony prawnej życia prywatnego, rodzinnego, czci i dobrego imienia oraz do decydowania o swoim życiu osobistym, przy czym zapewnia się wolność i ochronę tajemnicy komunikowania się (ich ograniczenie może nastąpić jedynie w przypadkach określonych w ustawie i w sposób w niej określony). Ponadto nikt nie może być obowiązany inaczej niż na podstawie ustawy do ujawniania informacji dotyczących jego osoby, a władze publiczne nie mogą pozyskiwać, gromadzić i udostępniać innych informacji o obywatelach niż niezbędne w demokratycznym państwie prawnym. W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zakresie gromadzenia danych pochodzących z czynności operacyjno-rozpoznawczych, zwłaszcza w sprawach, w których nie doczekano się ich prawomocnego zakończenia, możemy mieć do czynienia z naruszeniem art. 51 ust. 3 i 4 Konstytucji Rzeczypospolitej Polskiej, które wskazują, że każdy ma prawo dostępu do dotyczących go urzędowych dokumentów i zbiorów danych oraz prawo do żądania sprostowania oraz usunięcia informacji nieprawdziwych, niepełnych lub zebranych w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sposób sprzeczny z ustawą. W świetle powyższych przepisów wiele organów oraz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organizacji pozarządowych wskazuje na potrzebę zwiększenia kontroli nad działaniami podejmowanymi przez służby specjalne oraz Policję, które mogą być dokonywane z naruszeniem prawa, między innymi poprzez ustawowe zagwarantowanie późniejszego poinformowania o tym fakcie figurantów, jak również osoby postronne, które przypadkowo stały się obiektem kontroli.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5"/>
      </w:r>
      <w:r w:rsidRPr="00481599">
        <w:rPr>
          <w:rFonts w:ascii="Tahoma" w:hAnsi="Tahoma" w:cs="Tahoma"/>
          <w:sz w:val="24"/>
          <w:szCs w:val="24"/>
        </w:rPr>
        <w:t xml:space="preserve"> Nie bez znaczenia jest zakres podejmowanych czynności i rejestrowania życia prywatnego obywateli przez służby specjalne. Trybunał Konstytucyjny słusznie podkreśla, że „</w:t>
      </w:r>
      <w:r w:rsidRPr="00481599">
        <w:rPr>
          <w:rFonts w:ascii="Tahoma" w:hAnsi="Tahoma" w:cs="Tahoma"/>
          <w:i/>
          <w:iCs/>
          <w:sz w:val="24"/>
          <w:szCs w:val="24"/>
        </w:rPr>
        <w:t xml:space="preserve">nie jest dopuszczalne w demokratycznym państwie prawnym rejestrowanie całokształtu życia </w:t>
      </w:r>
      <w:r w:rsidRPr="00481599">
        <w:rPr>
          <w:rFonts w:ascii="Tahoma" w:hAnsi="Tahoma" w:cs="Tahoma"/>
          <w:i/>
          <w:iCs/>
          <w:sz w:val="24"/>
          <w:szCs w:val="24"/>
        </w:rPr>
        <w:lastRenderedPageBreak/>
        <w:t>prywatnego jednostek, zwłaszcza w sposób umożliwiający rekonstrukcję wszelkich przejawów ich życiowej aktywności. Stanowiłoby to naruszenie istoty prawa do</w:t>
      </w:r>
      <w:r w:rsidR="00CB364E">
        <w:rPr>
          <w:rFonts w:ascii="Tahoma" w:hAnsi="Tahoma" w:cs="Tahoma"/>
          <w:i/>
          <w:iCs/>
          <w:sz w:val="24"/>
          <w:szCs w:val="24"/>
        </w:rPr>
        <w:t> </w:t>
      </w:r>
      <w:r w:rsidRPr="00481599">
        <w:rPr>
          <w:rFonts w:ascii="Tahoma" w:hAnsi="Tahoma" w:cs="Tahoma"/>
          <w:i/>
          <w:iCs/>
          <w:sz w:val="24"/>
          <w:szCs w:val="24"/>
        </w:rPr>
        <w:t>prywatności, tajemnicy komunikowania się i autonomii informacyjnej, czego bezwzględnie zabrania art. 31 ust. 3 zdanie drugie Konstytucji.</w:t>
      </w:r>
      <w:r w:rsidRPr="00481599">
        <w:rPr>
          <w:rFonts w:ascii="Tahoma" w:hAnsi="Tahoma" w:cs="Tahoma"/>
          <w:sz w:val="24"/>
          <w:szCs w:val="24"/>
        </w:rPr>
        <w:t>”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6"/>
      </w:r>
      <w:r w:rsidRPr="00481599">
        <w:rPr>
          <w:rFonts w:ascii="Tahoma" w:hAnsi="Tahoma" w:cs="Tahoma"/>
          <w:sz w:val="24"/>
          <w:szCs w:val="24"/>
        </w:rPr>
        <w:t xml:space="preserve"> </w:t>
      </w:r>
    </w:p>
    <w:p w14:paraId="36B3C81E" w14:textId="77777777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Powołanie Komisji Śledczej uzasadniają również doniesienia dot. inwigilacji osób pełniących funkcje publiczne. Amerykańska agencja prasowa </w:t>
      </w:r>
      <w:proofErr w:type="spellStart"/>
      <w:r w:rsidRPr="00481599">
        <w:rPr>
          <w:rFonts w:ascii="Tahoma" w:hAnsi="Tahoma" w:cs="Tahoma"/>
          <w:sz w:val="24"/>
          <w:szCs w:val="24"/>
        </w:rPr>
        <w:t>Associated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Press poinformowała o używaniu oprogramowania, którego producentem jest izraelskie przedsiębiorstwo NSO </w:t>
      </w:r>
      <w:proofErr w:type="spellStart"/>
      <w:r w:rsidRPr="00481599">
        <w:rPr>
          <w:rFonts w:ascii="Tahoma" w:hAnsi="Tahoma" w:cs="Tahoma"/>
          <w:sz w:val="24"/>
          <w:szCs w:val="24"/>
        </w:rPr>
        <w:t>Group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w celu inwigilowania działaczy opozycji demokratycznej oraz osób publicznych krytykujących działalność polskiego rządu. Do dnia złożenia niniejszego projektu ujawniono informacje o stosowaniu szpiegowskiego oprogramowania m.in. wobec: </w:t>
      </w:r>
    </w:p>
    <w:p w14:paraId="2A110995" w14:textId="7E5C788C" w:rsidR="00481599" w:rsidRPr="00481599" w:rsidRDefault="00BC25F4" w:rsidP="00BC25F4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Krzysztofa Brejzy – obecnie posła na Sejm RP; w czasie podejmowania intensywnej działalności inwigilacyjnej przez polskie państwo pełnił on jako poseł na Sejm Rzeczypospolitej Polskiej funkcję szefa sztabu Koalicyjnego Komitetu Wyborczego Koalicja Obywatelska PO .N IPL ZIELONI,  </w:t>
      </w:r>
    </w:p>
    <w:p w14:paraId="6AA95512" w14:textId="1FCBBAF6" w:rsidR="00481599" w:rsidRPr="00481599" w:rsidRDefault="00BC25F4" w:rsidP="00BC25F4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Romana Giertycha – obecnie posła na Sejm RP, adwokata, członka Okręgowej Rady Adwokackiej w Warszawie; w czasie kampanii wyborczych i wyborów organizowanych w 2019 r. podejmował współpracę z politykami opozycji demokratycznej w zakresie wsparcia prawnego prowadzonej działalności; ponadto jest pełnomocnikiem Gerarda </w:t>
      </w:r>
      <w:proofErr w:type="spellStart"/>
      <w:r w:rsidR="00481599" w:rsidRPr="00481599">
        <w:rPr>
          <w:rFonts w:ascii="Tahoma" w:hAnsi="Tahoma" w:cs="Tahoma"/>
          <w:sz w:val="24"/>
          <w:szCs w:val="24"/>
        </w:rPr>
        <w:t>Birgfellnera</w:t>
      </w:r>
      <w:proofErr w:type="spellEnd"/>
      <w:r w:rsidR="00481599" w:rsidRPr="00481599">
        <w:rPr>
          <w:rFonts w:ascii="Tahoma" w:hAnsi="Tahoma" w:cs="Tahoma"/>
          <w:sz w:val="24"/>
          <w:szCs w:val="24"/>
        </w:rPr>
        <w:t xml:space="preserve">, który pozostaje w sporze z Jarosławem Kaczyńskim w sprawie budowy wieżowców (biurowców biznesowych) w centrum Warszawy;  </w:t>
      </w:r>
    </w:p>
    <w:p w14:paraId="7D31795D" w14:textId="763863DD" w:rsidR="00481599" w:rsidRPr="00481599" w:rsidRDefault="00BC25F4" w:rsidP="00BC25F4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Ewy </w:t>
      </w:r>
      <w:proofErr w:type="spellStart"/>
      <w:r w:rsidR="00481599" w:rsidRPr="00481599">
        <w:rPr>
          <w:rFonts w:ascii="Tahoma" w:hAnsi="Tahoma" w:cs="Tahoma"/>
          <w:sz w:val="24"/>
          <w:szCs w:val="24"/>
        </w:rPr>
        <w:t>Wrzosek</w:t>
      </w:r>
      <w:proofErr w:type="spellEnd"/>
      <w:r w:rsidR="00481599" w:rsidRPr="00481599">
        <w:rPr>
          <w:rFonts w:ascii="Tahoma" w:hAnsi="Tahoma" w:cs="Tahoma"/>
          <w:sz w:val="24"/>
          <w:szCs w:val="24"/>
        </w:rPr>
        <w:t xml:space="preserve"> – prokurator Prokuratury Rejonowej Warszawa-Mokotów; członkini stowarzyszenia Lex Super </w:t>
      </w:r>
      <w:proofErr w:type="spellStart"/>
      <w:r w:rsidR="00481599" w:rsidRPr="00481599">
        <w:rPr>
          <w:rFonts w:ascii="Tahoma" w:hAnsi="Tahoma" w:cs="Tahoma"/>
          <w:sz w:val="24"/>
          <w:szCs w:val="24"/>
        </w:rPr>
        <w:t>Omnia</w:t>
      </w:r>
      <w:proofErr w:type="spellEnd"/>
      <w:r w:rsidR="00481599" w:rsidRPr="00481599">
        <w:rPr>
          <w:rFonts w:ascii="Tahoma" w:hAnsi="Tahoma" w:cs="Tahoma"/>
          <w:sz w:val="24"/>
          <w:szCs w:val="24"/>
        </w:rPr>
        <w:t xml:space="preserve">, które zajmuje się działalnością na rzecz odpolitycznienia prokuratury; prokurator Ewa </w:t>
      </w:r>
      <w:proofErr w:type="spellStart"/>
      <w:r w:rsidR="00481599" w:rsidRPr="00481599">
        <w:rPr>
          <w:rFonts w:ascii="Tahoma" w:hAnsi="Tahoma" w:cs="Tahoma"/>
          <w:sz w:val="24"/>
          <w:szCs w:val="24"/>
        </w:rPr>
        <w:t>Wrzosek</w:t>
      </w:r>
      <w:proofErr w:type="spellEnd"/>
      <w:r w:rsidR="00481599" w:rsidRPr="00481599">
        <w:rPr>
          <w:rFonts w:ascii="Tahoma" w:hAnsi="Tahoma" w:cs="Tahoma"/>
          <w:sz w:val="24"/>
          <w:szCs w:val="24"/>
        </w:rPr>
        <w:t xml:space="preserve"> wszczęła śledztwo w sprawie tzw. wyborów kopertowych – wyborów prezydenckich w 2020 r., które się nie odbyły;  </w:t>
      </w: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Michała Kołodziejczaka – obecnie posła na Sejm RP, Prezesa Zarządu Fundacji </w:t>
      </w:r>
      <w:proofErr w:type="spellStart"/>
      <w:r w:rsidR="00481599" w:rsidRPr="00481599">
        <w:rPr>
          <w:rFonts w:ascii="Tahoma" w:hAnsi="Tahoma" w:cs="Tahoma"/>
          <w:sz w:val="24"/>
          <w:szCs w:val="24"/>
        </w:rPr>
        <w:t>Agrounia</w:t>
      </w:r>
      <w:proofErr w:type="spellEnd"/>
      <w:r w:rsidR="00481599" w:rsidRPr="00481599">
        <w:rPr>
          <w:rFonts w:ascii="Tahoma" w:hAnsi="Tahoma" w:cs="Tahoma"/>
          <w:sz w:val="24"/>
          <w:szCs w:val="24"/>
        </w:rPr>
        <w:t xml:space="preserve">, która krytykuje rząd Prawa i Sprawiedliwości za działalność naruszającą prawa oraz interesy polskich rolników;  </w:t>
      </w:r>
    </w:p>
    <w:p w14:paraId="0BC539B2" w14:textId="24BF6E96" w:rsidR="00481599" w:rsidRPr="00481599" w:rsidRDefault="00CC63DA" w:rsidP="00CC63DA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>pracowników oraz kontrolerów Najwyższej Izby Kontroli – jak podają dziennikarze w</w:t>
      </w:r>
      <w:r w:rsidR="00F41EAB">
        <w:rPr>
          <w:rFonts w:ascii="Tahoma" w:hAnsi="Tahoma" w:cs="Tahoma"/>
          <w:sz w:val="24"/>
          <w:szCs w:val="24"/>
        </w:rPr>
        <w:t> </w:t>
      </w:r>
      <w:r w:rsidR="00481599" w:rsidRPr="00481599">
        <w:rPr>
          <w:rFonts w:ascii="Tahoma" w:hAnsi="Tahoma" w:cs="Tahoma"/>
          <w:sz w:val="24"/>
          <w:szCs w:val="24"/>
        </w:rPr>
        <w:t>stosunku do pracowników oraz kontrolerów Najwyższej Izby Kontroli mogło dojść do nawet ok. 6 000 ataków na ok. 500 urządzeń z użyciem cybernetycznej broni służącej do walki z terroryzmem i przestępczością zorganizowaną; większość ataków</w:t>
      </w:r>
      <w:r w:rsidR="00BC25F4">
        <w:rPr>
          <w:rFonts w:ascii="Tahoma" w:hAnsi="Tahoma" w:cs="Tahoma"/>
          <w:sz w:val="24"/>
          <w:szCs w:val="24"/>
        </w:rPr>
        <w:t xml:space="preserve"> </w:t>
      </w:r>
      <w:r w:rsidR="00481599" w:rsidRPr="00481599">
        <w:rPr>
          <w:rFonts w:ascii="Tahoma" w:hAnsi="Tahoma" w:cs="Tahoma"/>
          <w:sz w:val="24"/>
          <w:szCs w:val="24"/>
        </w:rPr>
        <w:t>miała mieć miejsce w czasie, kiedy Najwyższa Izba Kontroli badała prawidłowość i</w:t>
      </w:r>
      <w:r w:rsidR="00F41EAB">
        <w:rPr>
          <w:rFonts w:ascii="Tahoma" w:hAnsi="Tahoma" w:cs="Tahoma"/>
          <w:sz w:val="24"/>
          <w:szCs w:val="24"/>
        </w:rPr>
        <w:t> </w:t>
      </w:r>
      <w:r w:rsidR="00481599" w:rsidRPr="00481599">
        <w:rPr>
          <w:rFonts w:ascii="Tahoma" w:hAnsi="Tahoma" w:cs="Tahoma"/>
          <w:sz w:val="24"/>
          <w:szCs w:val="24"/>
        </w:rPr>
        <w:t>gospodarność przeprowadzenia prezydenckich wyborów kopertowych, które się ostatecznie nie odbyły oraz wydatkowanie środków z Funduszu Sprawiedliwości. W</w:t>
      </w:r>
      <w:r w:rsidR="00F41EAB">
        <w:rPr>
          <w:rFonts w:ascii="Tahoma" w:hAnsi="Tahoma" w:cs="Tahoma"/>
          <w:sz w:val="24"/>
          <w:szCs w:val="24"/>
        </w:rPr>
        <w:t> </w:t>
      </w:r>
      <w:r w:rsidR="00481599" w:rsidRPr="00481599">
        <w:rPr>
          <w:rFonts w:ascii="Tahoma" w:hAnsi="Tahoma" w:cs="Tahoma"/>
          <w:sz w:val="24"/>
          <w:szCs w:val="24"/>
        </w:rPr>
        <w:t>tym przypadku kontrola operacyjna mogła być stosowana do obejścia tajemnicy kontrolerskiej, o której mowa w art. 73 ustawy z dnia 23 grudnia 1994 r. o Najwyższej Izbie Kontroli w celu uzyskania informacji na temat szczegółów prowadzonych kontroli.</w:t>
      </w:r>
      <w:r w:rsidR="00481599" w:rsidRPr="00481599">
        <w:rPr>
          <w:rFonts w:ascii="Tahoma" w:hAnsi="Tahoma" w:cs="Tahoma"/>
          <w:sz w:val="24"/>
          <w:szCs w:val="24"/>
          <w:vertAlign w:val="superscript"/>
        </w:rPr>
        <w:footnoteReference w:id="7"/>
      </w:r>
      <w:r w:rsidR="00481599" w:rsidRPr="00481599">
        <w:rPr>
          <w:rFonts w:ascii="Tahoma" w:hAnsi="Tahoma" w:cs="Tahoma"/>
          <w:sz w:val="24"/>
          <w:szCs w:val="24"/>
        </w:rPr>
        <w:t xml:space="preserve"> Eksperci NIK wciąż jeszcze pracują nad danymi, które uzyskali i ich dokładną interpretacją, zatem obecnie określenie skali zjawiska nie jest możliwe.  </w:t>
      </w:r>
    </w:p>
    <w:p w14:paraId="284306C1" w14:textId="1E72F9BB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Z raportów sporządzonych przez </w:t>
      </w:r>
      <w:proofErr w:type="spellStart"/>
      <w:r w:rsidRPr="00481599">
        <w:rPr>
          <w:rFonts w:ascii="Tahoma" w:hAnsi="Tahoma" w:cs="Tahoma"/>
          <w:sz w:val="24"/>
          <w:szCs w:val="24"/>
        </w:rPr>
        <w:t>Citizen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Lab funkcjonującym w ramach Uniwersytetu w Toronto wynika, że w okresie przedwyborczym w roku 2019 pan</w:t>
      </w:r>
      <w:r w:rsidR="00CB364E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Roman Giertych inwigilowany był 18 razy. Z kolei telefony pana Krzysztofa Brejzy, ówczesnego szefa sztabu wyborczego Koalicyjnego Komitetu Wyborczego Koalicja Obywatelska – PO, .N, IPL, ZIELONI penetrowane były przez polskie służby specjalne 33 razy – m.in. w czasie szczytu kampanii wyborczej przed wyborami do Sejmu i Senatu Rzeczypospolitej Polskiej. Informacje w sprawie inwigilacji Krzysztofa Brejzy za pomocą systemu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potwierdziła również organizacja </w:t>
      </w:r>
      <w:proofErr w:type="spellStart"/>
      <w:r w:rsidRPr="00481599">
        <w:rPr>
          <w:rFonts w:ascii="Tahoma" w:hAnsi="Tahoma" w:cs="Tahoma"/>
          <w:sz w:val="24"/>
          <w:szCs w:val="24"/>
        </w:rPr>
        <w:t>Amnesty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International. Telefon pani prokurator Ewy </w:t>
      </w:r>
      <w:proofErr w:type="spellStart"/>
      <w:r w:rsidRPr="00481599">
        <w:rPr>
          <w:rFonts w:ascii="Tahoma" w:hAnsi="Tahoma" w:cs="Tahoma"/>
          <w:sz w:val="24"/>
          <w:szCs w:val="24"/>
        </w:rPr>
        <w:t>Wrzosek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był kontrolowany oprogramowaniem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w okresie czerwiec – sierpień 2021 r., jednak inwigilacja miała najprawdopodobniej związek z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wszczęciem śledztwa w sprawie tzw. wyborów kopertowych – wyborów prezydenckich organizowanych w maju 2020 r., które się nie odbyły. Telefon pana Michała Kołodziejczaka był szpiegowany kilka razy w 2019 r., czyli w roku, w którym organizowano wybory do Parlamentu Europejskiego oraz wybory parlamentarne.  </w:t>
      </w:r>
    </w:p>
    <w:p w14:paraId="2E66F095" w14:textId="66248A43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Oprogramowanie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udostępniane jest przez przedsiębiorstwo NSO </w:t>
      </w:r>
      <w:proofErr w:type="spellStart"/>
      <w:r w:rsidRPr="00481599">
        <w:rPr>
          <w:rFonts w:ascii="Tahoma" w:hAnsi="Tahoma" w:cs="Tahoma"/>
          <w:sz w:val="24"/>
          <w:szCs w:val="24"/>
        </w:rPr>
        <w:t>Group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tylko i wyłącznie oficjalnie działającym agencjom rządowym. W Polsce pierwsze informacje na temat możliwości zakupu narzędzia totalnej inwigilacji pojawiły się </w:t>
      </w:r>
      <w:r w:rsidRPr="00481599">
        <w:rPr>
          <w:rFonts w:ascii="Tahoma" w:hAnsi="Tahoma" w:cs="Tahoma"/>
          <w:sz w:val="24"/>
          <w:szCs w:val="24"/>
        </w:rPr>
        <w:lastRenderedPageBreak/>
        <w:t>w</w:t>
      </w:r>
      <w:r w:rsidR="00F41EAB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2018 r. Wzmianka o przekazaniu z Funduszu Pomocy Pokrzywdzonym oraz Pomocy Postpenitencjarnej kwoty 25 mln zł na rzecz Centralnego Biura Antykorupcyjnego,  pojawiła się w analizie wykonania budżetu państwa i założeń polityki pieniężnej w 2017 r. sporządzonej przez Najwyższą Izbę Kontroli. „</w:t>
      </w:r>
      <w:r w:rsidRPr="00481599">
        <w:rPr>
          <w:rFonts w:ascii="Tahoma" w:hAnsi="Tahoma" w:cs="Tahoma"/>
          <w:i/>
          <w:iCs/>
          <w:sz w:val="24"/>
          <w:szCs w:val="24"/>
        </w:rPr>
        <w:t>Najwyższa Izba Kontroli oceniła negatywnie wykonanie planu finansowego Funduszu Pomocy Pokrzywdzonym oraz Pomocy Postpenitencjarnej w 2017 r. z uwagi na fakt nieuprawnionego przekazania środków w kwocie 25,0 mln zł na ustawowe zadania Centralnego Biura Antykorupcyjnego związane z zapobieganiem i wykrywaniem przestępczości, podczas gdy jednostka ta, zgodnie z art. 4 ust. 1 ustawy z dnia 9 czerwca 2006 r. o Centralnym Biurze Antykorupcyjnym powinna być finansowana środkami pochodzącymi wyłącznie z budżetu państwa. Ponadto w Funduszu tym stwierdzono nierozliczenie dotacji w</w:t>
      </w:r>
      <w:r w:rsidR="00F41EAB">
        <w:rPr>
          <w:rFonts w:ascii="Tahoma" w:hAnsi="Tahoma" w:cs="Tahoma"/>
          <w:i/>
          <w:iCs/>
          <w:sz w:val="24"/>
          <w:szCs w:val="24"/>
        </w:rPr>
        <w:t> </w:t>
      </w:r>
      <w:r w:rsidRPr="00481599">
        <w:rPr>
          <w:rFonts w:ascii="Tahoma" w:hAnsi="Tahoma" w:cs="Tahoma"/>
          <w:i/>
          <w:iCs/>
          <w:sz w:val="24"/>
          <w:szCs w:val="24"/>
        </w:rPr>
        <w:t>kwocie 12,0 mln zł (stanowiącej 33% dotacji przekazanych organizacjom pozarządowym w 2017 r.) w wyznaczonych terminach.</w:t>
      </w:r>
      <w:r w:rsidRPr="00481599">
        <w:rPr>
          <w:rFonts w:ascii="Tahoma" w:hAnsi="Tahoma" w:cs="Tahoma"/>
          <w:sz w:val="24"/>
          <w:szCs w:val="24"/>
        </w:rPr>
        <w:t>”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8"/>
      </w:r>
      <w:r w:rsidRPr="00481599">
        <w:rPr>
          <w:rFonts w:ascii="Tahoma" w:hAnsi="Tahoma" w:cs="Tahoma"/>
          <w:sz w:val="24"/>
          <w:szCs w:val="24"/>
        </w:rPr>
        <w:t xml:space="preserve">  </w:t>
      </w:r>
    </w:p>
    <w:p w14:paraId="2B709E60" w14:textId="3441BE25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Zgodnie z informacjami ujawnianymi przez media na temat oprogramowania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uznać można je za narzędzie inwigilacji totalnej, wyspecjalizowaną formę </w:t>
      </w:r>
      <w:proofErr w:type="spellStart"/>
      <w:r w:rsidRPr="00481599">
        <w:rPr>
          <w:rFonts w:ascii="Tahoma" w:hAnsi="Tahoma" w:cs="Tahoma"/>
          <w:sz w:val="24"/>
          <w:szCs w:val="24"/>
        </w:rPr>
        <w:t>cyberbroni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, pomocną w zwalczaniu zbrodni o najcięższym charakterze gatunkowym, przypadków pedofilii czy przestępstw terrorystycznych i narkotykowych. Żadne państwo nie może i nie powinno używać tego typu </w:t>
      </w:r>
      <w:proofErr w:type="spellStart"/>
      <w:r w:rsidRPr="00481599">
        <w:rPr>
          <w:rFonts w:ascii="Tahoma" w:hAnsi="Tahoma" w:cs="Tahoma"/>
          <w:sz w:val="24"/>
          <w:szCs w:val="24"/>
        </w:rPr>
        <w:t>cyberbroni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do walki z opozycją demokratyczną, obywatelami lub urzędnikami w celu zbierania </w:t>
      </w:r>
      <w:proofErr w:type="spellStart"/>
      <w:r w:rsidRPr="00481599">
        <w:rPr>
          <w:rFonts w:ascii="Tahoma" w:hAnsi="Tahoma" w:cs="Tahoma"/>
          <w:sz w:val="24"/>
          <w:szCs w:val="24"/>
        </w:rPr>
        <w:t>kompromatów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na ich temat, fałszowania ich oraz publikowania za pomocą dziennikarzy przychylnych rządowi w mediach (zwłaszcza w mediach publicznych). Szczególnie skandaliczne jest wykorzystanie izraelskiej </w:t>
      </w:r>
      <w:proofErr w:type="spellStart"/>
      <w:r w:rsidRPr="00481599">
        <w:rPr>
          <w:rFonts w:ascii="Tahoma" w:hAnsi="Tahoma" w:cs="Tahoma"/>
          <w:sz w:val="24"/>
          <w:szCs w:val="24"/>
        </w:rPr>
        <w:t>cyberbroni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wobec szefa sztabu wyborczego Koalicyjnego Komitetu Wyborczego Koalicja Obywatelska – PO, .N, IPL, ZIELONI. Najprawdopodobniej w taki sposób pozyskano prywatną korespondencję Krzysztofa Brejzy, później ją spreparowano i sfałszowano przez bliżej nieokreślone osoby, przypuszczalnie przez służby specjalne oraz pracowników lub współpracowników Telewizji Polskiej S.A. m.in. w ten sposób, że: </w:t>
      </w:r>
    </w:p>
    <w:p w14:paraId="1A78863E" w14:textId="7F219297" w:rsidR="00481599" w:rsidRPr="00481599" w:rsidRDefault="00BC25F4" w:rsidP="00BC25F4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z kilkunastu wiadomości SMS wysyłanych do różnych osób i w różnym czasie utworzono jedną, dopisując na końcu dodatkową treść i nazywając tak stworzony </w:t>
      </w:r>
      <w:r w:rsidR="00481599" w:rsidRPr="00481599">
        <w:rPr>
          <w:rFonts w:ascii="Tahoma" w:hAnsi="Tahoma" w:cs="Tahoma"/>
          <w:sz w:val="24"/>
          <w:szCs w:val="24"/>
        </w:rPr>
        <w:lastRenderedPageBreak/>
        <w:t>„materiał” mianem „maila”, pomijając przy tym istotne treści, co zmieniało znaczenie i</w:t>
      </w:r>
      <w:r w:rsidR="00F41EAB">
        <w:rPr>
          <w:rFonts w:ascii="Tahoma" w:hAnsi="Tahoma" w:cs="Tahoma"/>
          <w:sz w:val="24"/>
          <w:szCs w:val="24"/>
        </w:rPr>
        <w:t> </w:t>
      </w:r>
      <w:r w:rsidR="00481599" w:rsidRPr="00481599">
        <w:rPr>
          <w:rFonts w:ascii="Tahoma" w:hAnsi="Tahoma" w:cs="Tahoma"/>
          <w:sz w:val="24"/>
          <w:szCs w:val="24"/>
        </w:rPr>
        <w:t xml:space="preserve">odbiór korespondencji sugerując, iż Krzysztof Brejza podejmuje działania niezgodne z prawem albo przynajmniej nieetyczne;  </w:t>
      </w:r>
    </w:p>
    <w:p w14:paraId="1CC2C94C" w14:textId="6ADADB61" w:rsidR="00481599" w:rsidRPr="00481599" w:rsidRDefault="00BC25F4" w:rsidP="00BC25F4">
      <w:pPr>
        <w:spacing w:line="360" w:lineRule="auto"/>
        <w:ind w:left="1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81599" w:rsidRPr="00481599">
        <w:rPr>
          <w:rFonts w:ascii="Tahoma" w:hAnsi="Tahoma" w:cs="Tahoma"/>
          <w:sz w:val="24"/>
          <w:szCs w:val="24"/>
        </w:rPr>
        <w:t xml:space="preserve">autorstwo części wiadomości SMS zostało przypisane senatorowi Krzysztofowi Brejzie, chociaż to nie on był ich rzeczywistym nadawcą.  </w:t>
      </w:r>
    </w:p>
    <w:p w14:paraId="77B13B1A" w14:textId="48B93562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Warto podkreślić, że w sprawie możliwości stosowania czynności operacyjno-rozpoznawczych (również w zakresie korzystania z systemu inwigilacji totalnej) właściwych działań nie podejmują służby państwa, w szczególności prokuratura. Wyżej wskazane osoby pokrzywdzone, wobec których używano </w:t>
      </w:r>
      <w:proofErr w:type="spellStart"/>
      <w:r w:rsidRPr="00481599">
        <w:rPr>
          <w:rFonts w:ascii="Tahoma" w:hAnsi="Tahoma" w:cs="Tahoma"/>
          <w:sz w:val="24"/>
          <w:szCs w:val="24"/>
        </w:rPr>
        <w:t>cyberbroni</w:t>
      </w:r>
      <w:proofErr w:type="spellEnd"/>
      <w:r w:rsidRPr="00481599">
        <w:rPr>
          <w:rFonts w:ascii="Tahoma" w:hAnsi="Tahoma" w:cs="Tahoma"/>
          <w:sz w:val="24"/>
          <w:szCs w:val="24"/>
        </w:rPr>
        <w:t>, powiadomiły organy ścigania o możliwości popełnienia przestępstwa bezprawnego uzyskania informacji stypizowanego w art. 267 k.k. Zgodnie z jego brzmieniem kto bez uprawnienia uzyskuje dostęp do informacji dla niego nieprzeznaczonej, otwierając zamknięte pismo, podłączając się do sieci telekomunikacyjnej lub przełamując albo</w:t>
      </w:r>
      <w:r w:rsidR="00CB364E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omijając elektroniczne, magnetyczne, informatyczne lub inne szczególne jej</w:t>
      </w:r>
      <w:r w:rsidR="00CB364E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zabezpieczenie, podlega grzywnie, karze ograniczenia wolności albo pozbawienia wolności do lat 2. Prokuratura w opisywanych sprawach działa opieszale, przekazując postepowania z jednej jednostki organizacyjnej do innej lub nie podejmując stosownych czynności zmierzających do wykrycia i postawienia w stan oskarżenia sprawców w/w przestępstwa.  </w:t>
      </w:r>
    </w:p>
    <w:p w14:paraId="49E916E2" w14:textId="5219A452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Dokładna skala działania i wykorzystania czynności operacyjno-rozpoznawczych do inwigilacji nie jest znana. Obecnie najważniejsze osoby w Państwie nie komentują sprawy lub udzielają wymijających odpowiedzi na ten temat, a z dostępnych publicznie informacji wynika, że system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mógł być wykorzystywany na masową skalę, podobną do</w:t>
      </w:r>
      <w:r w:rsidR="004844E5">
        <w:rPr>
          <w:rFonts w:ascii="Tahoma" w:hAnsi="Tahoma" w:cs="Tahoma"/>
          <w:sz w:val="24"/>
          <w:szCs w:val="24"/>
        </w:rPr>
        <w:t xml:space="preserve"> występującej w</w:t>
      </w:r>
      <w:r w:rsidRPr="00481599">
        <w:rPr>
          <w:rFonts w:ascii="Tahoma" w:hAnsi="Tahoma" w:cs="Tahoma"/>
          <w:sz w:val="24"/>
          <w:szCs w:val="24"/>
        </w:rPr>
        <w:t xml:space="preserve"> państw</w:t>
      </w:r>
      <w:r w:rsidR="004844E5">
        <w:rPr>
          <w:rFonts w:ascii="Tahoma" w:hAnsi="Tahoma" w:cs="Tahoma"/>
          <w:sz w:val="24"/>
          <w:szCs w:val="24"/>
        </w:rPr>
        <w:t>ach</w:t>
      </w:r>
      <w:r w:rsidRPr="00481599">
        <w:rPr>
          <w:rFonts w:ascii="Tahoma" w:hAnsi="Tahoma" w:cs="Tahoma"/>
          <w:sz w:val="24"/>
          <w:szCs w:val="24"/>
        </w:rPr>
        <w:t xml:space="preserve"> autorytarnych. Rząd Izraela wykreślił Polskę z</w:t>
      </w:r>
      <w:r w:rsidR="004844E5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listy państw, którym izraelskie firmy mogą sprzedawać broń przeznaczoną do użycia w cyberprzestrzeni. Dziennikarze informują, że system nie jest udostępniany państwom, w których funkcjonują autokratyczne reżimy, gdyż wykorzystywany jest niezgodnie z przeznaczeniem, naruszając podstawowe wolności i prawa człowieka.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9"/>
      </w:r>
      <w:r w:rsidRPr="00481599">
        <w:rPr>
          <w:rFonts w:ascii="Tahoma" w:hAnsi="Tahoma" w:cs="Tahoma"/>
          <w:sz w:val="24"/>
          <w:szCs w:val="24"/>
        </w:rPr>
        <w:t xml:space="preserve"> Tym samym rodzi się uzasadnione pytanie kto i w jakim zakresie, poza polskimi </w:t>
      </w:r>
      <w:r w:rsidRPr="00481599">
        <w:rPr>
          <w:rFonts w:ascii="Tahoma" w:hAnsi="Tahoma" w:cs="Tahoma"/>
          <w:sz w:val="24"/>
          <w:szCs w:val="24"/>
        </w:rPr>
        <w:lastRenderedPageBreak/>
        <w:t xml:space="preserve">służbami specjalnymi, politykami większości rządzącej, prokuraturą oraz pracownikami lub współpracownikami Telewizji Polskiej S.A. mógł mieć dostęp do informacji zdobytych poprzez </w:t>
      </w:r>
      <w:proofErr w:type="spellStart"/>
      <w:r w:rsidRPr="00481599">
        <w:rPr>
          <w:rFonts w:ascii="Tahoma" w:hAnsi="Tahoma" w:cs="Tahoma"/>
          <w:sz w:val="24"/>
          <w:szCs w:val="24"/>
        </w:rPr>
        <w:t>cyberbroń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służącą do inwigilacji totalnej. Komisja Śledcza powinna w szczególności ustalić zakres w jakim przedstawiciele NSO </w:t>
      </w:r>
      <w:proofErr w:type="spellStart"/>
      <w:r w:rsidRPr="00481599">
        <w:rPr>
          <w:rFonts w:ascii="Tahoma" w:hAnsi="Tahoma" w:cs="Tahoma"/>
          <w:sz w:val="24"/>
          <w:szCs w:val="24"/>
        </w:rPr>
        <w:t>Group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lub rządu Izraela mogli zapoznawać się ze zgromadzonymi materiałami, a także czy zgromadzone materiały były zapisywane w tzw. chmurze gromadzącej zebrane dane, dostępnej dla przedstawicieli NSO </w:t>
      </w:r>
      <w:proofErr w:type="spellStart"/>
      <w:r w:rsidRPr="00481599">
        <w:rPr>
          <w:rFonts w:ascii="Tahoma" w:hAnsi="Tahoma" w:cs="Tahoma"/>
          <w:sz w:val="24"/>
          <w:szCs w:val="24"/>
        </w:rPr>
        <w:t>Group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. Fakt wykreślenia Polski z listy państw, którym udostępniana jest </w:t>
      </w:r>
      <w:proofErr w:type="spellStart"/>
      <w:r w:rsidRPr="00481599">
        <w:rPr>
          <w:rFonts w:ascii="Tahoma" w:hAnsi="Tahoma" w:cs="Tahoma"/>
          <w:sz w:val="24"/>
          <w:szCs w:val="24"/>
        </w:rPr>
        <w:t>cyberbroń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wskazuje, że w/w osoby mogły mieć przynajmniej wiedzę o stosowaniu </w:t>
      </w:r>
      <w:proofErr w:type="spellStart"/>
      <w:r w:rsidRPr="00481599">
        <w:rPr>
          <w:rFonts w:ascii="Tahoma" w:hAnsi="Tahoma" w:cs="Tahoma"/>
          <w:sz w:val="24"/>
          <w:szCs w:val="24"/>
        </w:rPr>
        <w:t>Pegasusa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przez polskie służby specjalne i prokuraturę z naruszeniem podstawowych norm i wzorców postępowania wyznaczonych przez prawa i wolności człowieka. Wobec powyższego</w:t>
      </w:r>
      <w:r w:rsidR="004844E5">
        <w:rPr>
          <w:rFonts w:ascii="Tahoma" w:hAnsi="Tahoma" w:cs="Tahoma"/>
          <w:sz w:val="24"/>
          <w:szCs w:val="24"/>
        </w:rPr>
        <w:t>,</w:t>
      </w:r>
      <w:r w:rsidRPr="00481599">
        <w:rPr>
          <w:rFonts w:ascii="Tahoma" w:hAnsi="Tahoma" w:cs="Tahoma"/>
          <w:sz w:val="24"/>
          <w:szCs w:val="24"/>
        </w:rPr>
        <w:t xml:space="preserve"> osoby odpowiedzialne za zakup lub wykorzystywanie oprogramowania </w:t>
      </w:r>
      <w:proofErr w:type="spellStart"/>
      <w:r w:rsidRPr="00481599">
        <w:rPr>
          <w:rFonts w:ascii="Tahoma" w:hAnsi="Tahoma" w:cs="Tahoma"/>
          <w:sz w:val="24"/>
          <w:szCs w:val="24"/>
        </w:rPr>
        <w:t>Pegasus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dopuściły lub mogły dopuścić do nielegalnego ujawnienia danych na temat zainteresowań polskich służb specjalnych obcym wywiadom.</w:t>
      </w:r>
    </w:p>
    <w:p w14:paraId="0E1FABFA" w14:textId="1CCD72BF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Należy wskazać, że Komisja śledcza Parlamentu Europejskiego, która badała przypadki inwigilacji </w:t>
      </w:r>
      <w:proofErr w:type="spellStart"/>
      <w:r w:rsidRPr="00481599">
        <w:rPr>
          <w:rFonts w:ascii="Tahoma" w:hAnsi="Tahoma" w:cs="Tahoma"/>
          <w:sz w:val="24"/>
          <w:szCs w:val="24"/>
        </w:rPr>
        <w:t>Pegasusem</w:t>
      </w:r>
      <w:proofErr w:type="spellEnd"/>
      <w:r w:rsidRPr="00481599">
        <w:rPr>
          <w:rFonts w:ascii="Tahoma" w:hAnsi="Tahoma" w:cs="Tahoma"/>
          <w:sz w:val="24"/>
          <w:szCs w:val="24"/>
        </w:rPr>
        <w:t xml:space="preserve"> m.in. w Polsce,  opublikowała wstępny raport, zgodnie z którym stwierdzono, że oprogramowanie szpiegujące stanowi integralny element całego systemu zaprojektowanego w celu kontroli, a wręcz opresji obywateli krytykujących rząd. Raport jednoznacznie potępia nadużycia, do których doszło  w</w:t>
      </w:r>
      <w:r w:rsidR="00691BDF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Polsce poprzez wykorzystywanie tego oprogramowania.</w:t>
      </w:r>
      <w:r w:rsidRPr="00481599">
        <w:rPr>
          <w:rFonts w:ascii="Tahoma" w:hAnsi="Tahoma" w:cs="Tahoma"/>
          <w:sz w:val="24"/>
          <w:szCs w:val="24"/>
          <w:vertAlign w:val="superscript"/>
        </w:rPr>
        <w:footnoteReference w:id="10"/>
      </w:r>
      <w:r w:rsidRPr="00481599">
        <w:rPr>
          <w:rFonts w:ascii="Tahoma" w:hAnsi="Tahoma" w:cs="Tahoma"/>
          <w:sz w:val="24"/>
          <w:szCs w:val="24"/>
        </w:rPr>
        <w:t xml:space="preserve"> </w:t>
      </w:r>
    </w:p>
    <w:p w14:paraId="7015616C" w14:textId="7755CF66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Jednocześnie w sprawie brak jest adekwatnych działań polskich służb specjalnych oraz prokuratury. Pomimo tego, że istniała w państwie grupa osób, która zorganizowała proceder podsłuchiwania obywateli, w tym osób pełniących funkcje publiczne, a także publikowania tak zdobytych materiałów w środkach masowego przekazu, zazwyczaj bez kierowania sprawy na drogę postępowania sądowego, nie podjęto odpowiednich czynności procesowych zmierzających do kompleksowego wyjaśnienia tzw. „</w:t>
      </w:r>
      <w:r w:rsidRPr="00481599">
        <w:rPr>
          <w:rFonts w:ascii="Tahoma" w:hAnsi="Tahoma" w:cs="Tahoma"/>
          <w:i/>
          <w:iCs/>
          <w:sz w:val="24"/>
          <w:szCs w:val="24"/>
        </w:rPr>
        <w:t xml:space="preserve">Afery </w:t>
      </w:r>
      <w:proofErr w:type="spellStart"/>
      <w:r w:rsidRPr="00481599">
        <w:rPr>
          <w:rFonts w:ascii="Tahoma" w:hAnsi="Tahoma" w:cs="Tahoma"/>
          <w:i/>
          <w:iCs/>
          <w:sz w:val="24"/>
          <w:szCs w:val="24"/>
        </w:rPr>
        <w:t>Pegasusa</w:t>
      </w:r>
      <w:proofErr w:type="spellEnd"/>
      <w:r w:rsidRPr="00481599">
        <w:rPr>
          <w:rFonts w:ascii="Tahoma" w:hAnsi="Tahoma" w:cs="Tahoma"/>
          <w:i/>
          <w:iCs/>
          <w:sz w:val="24"/>
          <w:szCs w:val="24"/>
        </w:rPr>
        <w:t>”</w:t>
      </w:r>
      <w:r w:rsidRPr="00481599">
        <w:rPr>
          <w:rFonts w:ascii="Tahoma" w:hAnsi="Tahoma" w:cs="Tahoma"/>
          <w:sz w:val="24"/>
          <w:szCs w:val="24"/>
        </w:rPr>
        <w:t>. Biorąc pod uwagę jej skalę oraz fakt, że</w:t>
      </w:r>
      <w:r w:rsidR="00691BDF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funkcjonowaniem tego procederu zainteresowały się organy i instytucje (w tym międzynarodowe) odpowiedzialne za ochronę praw człowieka, powołanie Komisji Śledczej uznać należy za w pełni uzasadnione. Osoby, które wskutek niezależnych </w:t>
      </w:r>
      <w:r w:rsidRPr="00481599">
        <w:rPr>
          <w:rFonts w:ascii="Tahoma" w:hAnsi="Tahoma" w:cs="Tahoma"/>
          <w:sz w:val="24"/>
          <w:szCs w:val="24"/>
        </w:rPr>
        <w:lastRenderedPageBreak/>
        <w:t xml:space="preserve">czynności organizacji pozarządowych i naukowych dowiedziały się o stosowaniu wobec nich </w:t>
      </w:r>
      <w:proofErr w:type="spellStart"/>
      <w:r w:rsidRPr="00481599">
        <w:rPr>
          <w:rFonts w:ascii="Tahoma" w:hAnsi="Tahoma" w:cs="Tahoma"/>
          <w:sz w:val="24"/>
          <w:szCs w:val="24"/>
        </w:rPr>
        <w:t>cyberbroni</w:t>
      </w:r>
      <w:proofErr w:type="spellEnd"/>
      <w:r w:rsidRPr="00481599">
        <w:rPr>
          <w:rFonts w:ascii="Tahoma" w:hAnsi="Tahoma" w:cs="Tahoma"/>
          <w:sz w:val="24"/>
          <w:szCs w:val="24"/>
        </w:rPr>
        <w:t>, musiały samodzielnie bronić swojego dobrego imienia przy jednoczesnym zaangażowaniu znacznych sił i środków po stronie władzy państwowej wymierzonych w tę obronę. Wskazać należy, że w każdym z wymienionych powyżej przypadków, istnieją liczne publikacje wskazujące na bezpośrednie lub pośrednie zaangażowanie członków Rady Ministrów lub szefów służb specjalnych i podległych im funkcjonariuszy w poszczególne czynności związane z prowadzonymi postępowaniami, które po ich ujawnieniu budzą poważne wątpliwości, co do ich legalności. Tym samym istnieją uzasadnione wątpliwości i prawdopodobieństwo, że osoby odpowiedzialne za</w:t>
      </w:r>
      <w:r w:rsidR="00CB364E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>funkcjonowanie systemu inwigilacji jednocześnie tuszowały lub próbowały tuszować całą aferę. Podkreślenia wymaga, że właściwe organy państwa, odpowiedzialne za</w:t>
      </w:r>
      <w:r w:rsidR="00CB364E">
        <w:rPr>
          <w:rFonts w:ascii="Tahoma" w:hAnsi="Tahoma" w:cs="Tahoma"/>
          <w:sz w:val="24"/>
          <w:szCs w:val="24"/>
        </w:rPr>
        <w:t> </w:t>
      </w:r>
      <w:r w:rsidRPr="00481599">
        <w:rPr>
          <w:rFonts w:ascii="Tahoma" w:hAnsi="Tahoma" w:cs="Tahoma"/>
          <w:sz w:val="24"/>
          <w:szCs w:val="24"/>
        </w:rPr>
        <w:t xml:space="preserve">rozpatrzenie tego typu spraw, nie wywiązały się należycie ze swoich obowiązków. Zatem istnieją w sprawie uzasadnione podstawy do jej wyjaśnienia przez sejmową komisję śledczą. </w:t>
      </w:r>
    </w:p>
    <w:p w14:paraId="7F4750A2" w14:textId="77777777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 xml:space="preserve">Z tego też powodu niezbędne jest zbadanie przez Komisję Śledczą okresu lat 2015 – 2023 wskazanego w treści Uchwały, aby wyjaśnić w jakim zakresie oraz wobec kogo używano czynności operacyjno-rozpoznawczych, a także w jaki sposób wykorzystano tak zdobyte materiały oraz kto i w jakim celu mógł się z nimi zapoznać. </w:t>
      </w:r>
    </w:p>
    <w:p w14:paraId="6DED6656" w14:textId="77777777" w:rsidR="00481599" w:rsidRPr="00481599" w:rsidRDefault="00481599" w:rsidP="00BC25F4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81599">
        <w:rPr>
          <w:rFonts w:ascii="Tahoma" w:hAnsi="Tahoma" w:cs="Tahoma"/>
          <w:sz w:val="24"/>
          <w:szCs w:val="24"/>
        </w:rPr>
        <w:t>Wskutek bierności organów i instytucji publicznych w zakresie opisanych powyżej uchybień i nieprawidłowości niezbędne jest powołanie Komisji Śledczej.</w:t>
      </w:r>
    </w:p>
    <w:p w14:paraId="7542DD97" w14:textId="77777777" w:rsidR="00400B90" w:rsidRPr="00481599" w:rsidRDefault="00400B90" w:rsidP="0048159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400B90" w:rsidRPr="0048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7B1C" w14:textId="77777777" w:rsidR="00DC33F9" w:rsidRDefault="00DC33F9" w:rsidP="00481599">
      <w:pPr>
        <w:spacing w:after="0" w:line="240" w:lineRule="auto"/>
      </w:pPr>
      <w:r>
        <w:separator/>
      </w:r>
    </w:p>
  </w:endnote>
  <w:endnote w:type="continuationSeparator" w:id="0">
    <w:p w14:paraId="14DFD775" w14:textId="77777777" w:rsidR="00DC33F9" w:rsidRDefault="00DC33F9" w:rsidP="0048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14B5" w14:textId="77777777" w:rsidR="00DC33F9" w:rsidRDefault="00DC33F9" w:rsidP="00481599">
      <w:pPr>
        <w:spacing w:after="0" w:line="240" w:lineRule="auto"/>
      </w:pPr>
      <w:r>
        <w:separator/>
      </w:r>
    </w:p>
  </w:footnote>
  <w:footnote w:type="continuationSeparator" w:id="0">
    <w:p w14:paraId="64C00D79" w14:textId="77777777" w:rsidR="00DC33F9" w:rsidRDefault="00DC33F9" w:rsidP="00481599">
      <w:pPr>
        <w:spacing w:after="0" w:line="240" w:lineRule="auto"/>
      </w:pPr>
      <w:r>
        <w:continuationSeparator/>
      </w:r>
    </w:p>
  </w:footnote>
  <w:footnote w:id="1">
    <w:p w14:paraId="477BEB73" w14:textId="06C84D69" w:rsidR="00481599" w:rsidRPr="00481599" w:rsidRDefault="00481599" w:rsidP="00481599">
      <w:pPr>
        <w:contextualSpacing/>
        <w:jc w:val="both"/>
        <w:rPr>
          <w:rFonts w:ascii="Tahoma" w:hAnsi="Tahoma" w:cs="Tahoma"/>
          <w:sz w:val="16"/>
          <w:szCs w:val="16"/>
        </w:rPr>
      </w:pPr>
      <w:r w:rsidRPr="00481599">
        <w:rPr>
          <w:rFonts w:ascii="Tahoma" w:hAnsi="Tahoma" w:cs="Tahoma"/>
          <w:sz w:val="16"/>
          <w:szCs w:val="16"/>
        </w:rPr>
        <w:footnoteRef/>
      </w:r>
      <w:r w:rsidRPr="00481599">
        <w:rPr>
          <w:rFonts w:ascii="Tahoma" w:hAnsi="Tahoma" w:cs="Tahoma"/>
          <w:sz w:val="16"/>
          <w:szCs w:val="16"/>
        </w:rPr>
        <w:t xml:space="preserve"> Informacja Ministra Sprawiedliwości na temat przetwarzania danych telekomunikacyjnych, pocztowych i internetowych oraz</w:t>
      </w:r>
      <w:r w:rsidR="00F41EAB">
        <w:rPr>
          <w:rFonts w:ascii="Tahoma" w:hAnsi="Tahoma" w:cs="Tahoma"/>
          <w:sz w:val="16"/>
          <w:szCs w:val="16"/>
        </w:rPr>
        <w:t> </w:t>
      </w:r>
      <w:r w:rsidRPr="00481599">
        <w:rPr>
          <w:rFonts w:ascii="Tahoma" w:hAnsi="Tahoma" w:cs="Tahoma"/>
          <w:sz w:val="16"/>
          <w:szCs w:val="16"/>
        </w:rPr>
        <w:t xml:space="preserve">wyników przeprowadzonych kontroli w 2022 roku (druk senacki nr 1073) </w:t>
      </w:r>
    </w:p>
  </w:footnote>
  <w:footnote w:id="2">
    <w:p w14:paraId="78047E81" w14:textId="5324B80A" w:rsidR="00481599" w:rsidRPr="00481599" w:rsidRDefault="00481599" w:rsidP="00481599">
      <w:pPr>
        <w:contextualSpacing/>
        <w:jc w:val="both"/>
        <w:rPr>
          <w:rFonts w:ascii="Tahoma" w:hAnsi="Tahoma" w:cs="Tahoma"/>
          <w:sz w:val="16"/>
          <w:szCs w:val="16"/>
        </w:rPr>
      </w:pPr>
      <w:r w:rsidRPr="00481599">
        <w:rPr>
          <w:rFonts w:ascii="Tahoma" w:hAnsi="Tahoma" w:cs="Tahoma"/>
          <w:sz w:val="16"/>
          <w:szCs w:val="16"/>
        </w:rPr>
        <w:footnoteRef/>
      </w:r>
      <w:r w:rsidRPr="00481599">
        <w:rPr>
          <w:rFonts w:ascii="Tahoma" w:hAnsi="Tahoma" w:cs="Tahoma"/>
          <w:sz w:val="16"/>
          <w:szCs w:val="16"/>
        </w:rPr>
        <w:t xml:space="preserve"> Informacja Ministra Sprawiedliwości na temat przetwarzania danych telekomunikacyjnych, pocztowych i internetowych oraz</w:t>
      </w:r>
      <w:r w:rsidR="00F41EAB">
        <w:rPr>
          <w:rFonts w:ascii="Tahoma" w:hAnsi="Tahoma" w:cs="Tahoma"/>
          <w:sz w:val="16"/>
          <w:szCs w:val="16"/>
        </w:rPr>
        <w:t> </w:t>
      </w:r>
      <w:r w:rsidRPr="00481599">
        <w:rPr>
          <w:rFonts w:ascii="Tahoma" w:hAnsi="Tahoma" w:cs="Tahoma"/>
          <w:sz w:val="16"/>
          <w:szCs w:val="16"/>
        </w:rPr>
        <w:t xml:space="preserve">wyników przeprowadzonych kontroli w 2021 roku (druk senacki 769) </w:t>
      </w:r>
    </w:p>
  </w:footnote>
  <w:footnote w:id="3">
    <w:p w14:paraId="5F7611FF" w14:textId="3B0CCE14" w:rsidR="00481599" w:rsidRPr="00481599" w:rsidRDefault="00481599" w:rsidP="00481599">
      <w:pPr>
        <w:spacing w:line="252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481599">
        <w:rPr>
          <w:rFonts w:ascii="Tahoma" w:hAnsi="Tahoma" w:cs="Tahoma"/>
          <w:sz w:val="16"/>
          <w:szCs w:val="16"/>
        </w:rPr>
        <w:footnoteRef/>
      </w:r>
      <w:r w:rsidRPr="00481599">
        <w:rPr>
          <w:rFonts w:ascii="Tahoma" w:hAnsi="Tahoma" w:cs="Tahoma"/>
          <w:sz w:val="16"/>
          <w:szCs w:val="16"/>
        </w:rPr>
        <w:t xml:space="preserve"> Jawna roczna informacja Prokuratora Generalnego o łącznej liczbie osób, wobec których został skierowany wniosek o</w:t>
      </w:r>
      <w:r w:rsidR="00F41EAB">
        <w:rPr>
          <w:rFonts w:ascii="Tahoma" w:hAnsi="Tahoma" w:cs="Tahoma"/>
          <w:sz w:val="16"/>
          <w:szCs w:val="16"/>
        </w:rPr>
        <w:t> </w:t>
      </w:r>
      <w:r w:rsidRPr="00481599">
        <w:rPr>
          <w:rFonts w:ascii="Tahoma" w:hAnsi="Tahoma" w:cs="Tahoma"/>
          <w:sz w:val="16"/>
          <w:szCs w:val="16"/>
        </w:rPr>
        <w:t xml:space="preserve">zarządzenie kontroli i utrwalania rozmów lub wniosek o zarządzenie kontroli operacyjnej (druk senacki nr 1004) </w:t>
      </w:r>
    </w:p>
  </w:footnote>
  <w:footnote w:id="4">
    <w:p w14:paraId="4F9D5CA5" w14:textId="4E1825E0" w:rsidR="00481599" w:rsidRPr="00481599" w:rsidRDefault="00481599" w:rsidP="00481599">
      <w:pPr>
        <w:spacing w:line="252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481599">
        <w:rPr>
          <w:rFonts w:ascii="Tahoma" w:hAnsi="Tahoma" w:cs="Tahoma"/>
          <w:sz w:val="16"/>
          <w:szCs w:val="16"/>
        </w:rPr>
        <w:footnoteRef/>
      </w:r>
      <w:r w:rsidRPr="00481599">
        <w:rPr>
          <w:rFonts w:ascii="Tahoma" w:hAnsi="Tahoma" w:cs="Tahoma"/>
          <w:sz w:val="16"/>
          <w:szCs w:val="16"/>
        </w:rPr>
        <w:t xml:space="preserve"> Jawna roczna informacja Prokuratora Generalnego o łącznej liczbie osób, wobec których został skierowany wniosek o</w:t>
      </w:r>
      <w:r w:rsidR="00F41EAB">
        <w:rPr>
          <w:rFonts w:ascii="Tahoma" w:hAnsi="Tahoma" w:cs="Tahoma"/>
          <w:sz w:val="16"/>
          <w:szCs w:val="16"/>
        </w:rPr>
        <w:t> </w:t>
      </w:r>
      <w:r w:rsidRPr="00481599">
        <w:rPr>
          <w:rFonts w:ascii="Tahoma" w:hAnsi="Tahoma" w:cs="Tahoma"/>
          <w:sz w:val="16"/>
          <w:szCs w:val="16"/>
        </w:rPr>
        <w:t xml:space="preserve">zarządzenie kontroli i utrwalania rozmów lub wniosek o zarządzenie kontroli operacyjnej (druk senacki nr 731) </w:t>
      </w:r>
    </w:p>
  </w:footnote>
  <w:footnote w:id="5">
    <w:p w14:paraId="62F80D31" w14:textId="77777777" w:rsidR="00481599" w:rsidRPr="00BC25F4" w:rsidRDefault="00481599" w:rsidP="00BC25F4">
      <w:pPr>
        <w:spacing w:line="261" w:lineRule="auto"/>
        <w:jc w:val="both"/>
        <w:rPr>
          <w:rFonts w:ascii="Tahoma" w:hAnsi="Tahoma" w:cs="Tahoma"/>
          <w:sz w:val="16"/>
          <w:szCs w:val="16"/>
        </w:rPr>
      </w:pPr>
      <w:r w:rsidRPr="00BC25F4">
        <w:rPr>
          <w:rFonts w:ascii="Tahoma" w:hAnsi="Tahoma" w:cs="Tahoma"/>
          <w:sz w:val="16"/>
          <w:szCs w:val="16"/>
        </w:rPr>
        <w:footnoteRef/>
      </w:r>
      <w:r w:rsidRPr="00BC25F4">
        <w:rPr>
          <w:rFonts w:ascii="Tahoma" w:hAnsi="Tahoma" w:cs="Tahoma"/>
          <w:sz w:val="16"/>
          <w:szCs w:val="16"/>
        </w:rPr>
        <w:t xml:space="preserve"> Chociażby pismo Rzecznika Praw Obywatelskich Marcina Wiącka z dn. 13 stycznia 2022 r. skierowane do Prezesa Rady Ministrów, znak sprawy VII.501.306.2021.KZ.  </w:t>
      </w:r>
    </w:p>
  </w:footnote>
  <w:footnote w:id="6">
    <w:p w14:paraId="611EF62D" w14:textId="77777777" w:rsidR="00481599" w:rsidRPr="00F41EAB" w:rsidRDefault="00481599" w:rsidP="00481599">
      <w:pPr>
        <w:spacing w:line="256" w:lineRule="auto"/>
        <w:rPr>
          <w:rFonts w:ascii="Tahoma" w:hAnsi="Tahoma" w:cs="Tahoma"/>
          <w:sz w:val="16"/>
          <w:szCs w:val="16"/>
        </w:rPr>
      </w:pPr>
      <w:r w:rsidRPr="00F41EAB">
        <w:rPr>
          <w:rFonts w:ascii="Tahoma" w:hAnsi="Tahoma" w:cs="Tahoma"/>
          <w:sz w:val="16"/>
          <w:szCs w:val="16"/>
        </w:rPr>
        <w:footnoteRef/>
      </w:r>
      <w:r w:rsidRPr="00F41EAB">
        <w:rPr>
          <w:rFonts w:ascii="Tahoma" w:hAnsi="Tahoma" w:cs="Tahoma"/>
          <w:sz w:val="16"/>
          <w:szCs w:val="16"/>
        </w:rPr>
        <w:t xml:space="preserve"> Wyrok Trybunału Konstytucyjnego z dnia 30 lipca 2014 r., sygn. akt K 23/11 </w:t>
      </w:r>
    </w:p>
  </w:footnote>
  <w:footnote w:id="7">
    <w:p w14:paraId="7BD71355" w14:textId="77777777" w:rsidR="00481599" w:rsidRPr="00D941B5" w:rsidRDefault="00481599" w:rsidP="00481599">
      <w:pPr>
        <w:spacing w:line="242" w:lineRule="auto"/>
        <w:rPr>
          <w:rFonts w:ascii="Tahoma" w:hAnsi="Tahoma" w:cs="Tahoma"/>
          <w:sz w:val="16"/>
          <w:szCs w:val="16"/>
        </w:rPr>
      </w:pPr>
      <w:r w:rsidRPr="00D941B5">
        <w:rPr>
          <w:rFonts w:ascii="Tahoma" w:hAnsi="Tahoma" w:cs="Tahoma"/>
          <w:sz w:val="16"/>
          <w:szCs w:val="16"/>
        </w:rPr>
        <w:footnoteRef/>
      </w:r>
      <w:r w:rsidRPr="00D941B5">
        <w:rPr>
          <w:rFonts w:ascii="Tahoma" w:hAnsi="Tahoma" w:cs="Tahoma"/>
          <w:sz w:val="16"/>
          <w:szCs w:val="16"/>
        </w:rPr>
        <w:t xml:space="preserve"> https://www.rmf24.pl/fakty/polska/news-nieoficjalnie-6-tys-atakow-pegasusem-na-nik-500-urzadzenzai,nId,5813469#crp_state=1 </w:t>
      </w:r>
    </w:p>
  </w:footnote>
  <w:footnote w:id="8">
    <w:p w14:paraId="050D8ECE" w14:textId="491F6A66" w:rsidR="00481599" w:rsidRPr="00481599" w:rsidRDefault="00481599" w:rsidP="00BC25F4">
      <w:pPr>
        <w:spacing w:line="261" w:lineRule="auto"/>
        <w:jc w:val="both"/>
        <w:rPr>
          <w:rFonts w:ascii="Tahoma" w:hAnsi="Tahoma" w:cs="Tahoma"/>
          <w:sz w:val="16"/>
          <w:szCs w:val="16"/>
        </w:rPr>
      </w:pPr>
      <w:r w:rsidRPr="00481599">
        <w:rPr>
          <w:rFonts w:ascii="Tahoma" w:hAnsi="Tahoma" w:cs="Tahoma"/>
          <w:sz w:val="16"/>
          <w:szCs w:val="16"/>
        </w:rPr>
        <w:footnoteRef/>
      </w:r>
      <w:r w:rsidRPr="00481599">
        <w:rPr>
          <w:rFonts w:ascii="Tahoma" w:hAnsi="Tahoma" w:cs="Tahoma"/>
          <w:sz w:val="16"/>
          <w:szCs w:val="16"/>
        </w:rPr>
        <w:t xml:space="preserve"> Analiza wykonania budżetu państwa i założeń polityki pieniężnej w 2017 r., źródło: https://www.nik.gov.pl/plik/id,17136,vp,19696.pdf</w:t>
      </w:r>
    </w:p>
  </w:footnote>
  <w:footnote w:id="9">
    <w:p w14:paraId="742C301A" w14:textId="77777777" w:rsidR="00481599" w:rsidRPr="00BC25F4" w:rsidRDefault="00481599" w:rsidP="00481599">
      <w:pPr>
        <w:spacing w:line="256" w:lineRule="auto"/>
        <w:rPr>
          <w:rFonts w:ascii="Tahoma" w:hAnsi="Tahoma" w:cs="Tahoma"/>
          <w:sz w:val="16"/>
          <w:szCs w:val="16"/>
        </w:rPr>
      </w:pPr>
      <w:r w:rsidRPr="00BC25F4">
        <w:rPr>
          <w:rFonts w:ascii="Tahoma" w:hAnsi="Tahoma" w:cs="Tahoma"/>
          <w:sz w:val="16"/>
          <w:szCs w:val="16"/>
        </w:rPr>
        <w:footnoteRef/>
      </w:r>
      <w:r w:rsidRPr="00BC25F4">
        <w:rPr>
          <w:rFonts w:ascii="Tahoma" w:hAnsi="Tahoma" w:cs="Tahoma"/>
          <w:sz w:val="16"/>
          <w:szCs w:val="16"/>
        </w:rPr>
        <w:t xml:space="preserve"> https://www.prawo.pl/prawo/pegazus-izralel-nie-sprzeda-polsce,511996.html </w:t>
      </w:r>
    </w:p>
  </w:footnote>
  <w:footnote w:id="10">
    <w:p w14:paraId="5E3E4948" w14:textId="77777777" w:rsidR="00481599" w:rsidRPr="00BC25F4" w:rsidRDefault="00481599" w:rsidP="00481599">
      <w:pPr>
        <w:spacing w:line="242" w:lineRule="auto"/>
        <w:rPr>
          <w:rFonts w:ascii="Tahoma" w:hAnsi="Tahoma" w:cs="Tahoma"/>
          <w:sz w:val="16"/>
          <w:szCs w:val="16"/>
        </w:rPr>
      </w:pPr>
      <w:r w:rsidRPr="00BC25F4">
        <w:rPr>
          <w:rFonts w:ascii="Tahoma" w:hAnsi="Tahoma" w:cs="Tahoma"/>
          <w:sz w:val="16"/>
          <w:szCs w:val="16"/>
        </w:rPr>
        <w:footnoteRef/>
      </w:r>
      <w:r w:rsidRPr="00BC25F4">
        <w:rPr>
          <w:rFonts w:ascii="Tahoma" w:hAnsi="Tahoma" w:cs="Tahoma"/>
          <w:sz w:val="16"/>
          <w:szCs w:val="16"/>
        </w:rPr>
        <w:t xml:space="preserve"> https://tvn24.pl/swiat/inwigilacja-w-polsce-co-ustalila-komisja-parlamentu-europejskiego-ds-pegasusawstepny-raport-6207364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1F9"/>
    <w:multiLevelType w:val="hybridMultilevel"/>
    <w:tmpl w:val="9FECB6DC"/>
    <w:lvl w:ilvl="0" w:tplc="8F6EDCE6">
      <w:start w:val="1"/>
      <w:numFmt w:val="bullet"/>
      <w:lvlText w:val="-"/>
      <w:lvlJc w:val="left"/>
      <w:pPr>
        <w:ind w:left="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5CEF4E">
      <w:start w:val="1"/>
      <w:numFmt w:val="bullet"/>
      <w:lvlText w:val="o"/>
      <w:lvlJc w:val="left"/>
      <w:pPr>
        <w:ind w:left="109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382C58">
      <w:start w:val="1"/>
      <w:numFmt w:val="bullet"/>
      <w:lvlText w:val="▪"/>
      <w:lvlJc w:val="left"/>
      <w:pPr>
        <w:ind w:left="181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5E969E">
      <w:start w:val="1"/>
      <w:numFmt w:val="bullet"/>
      <w:lvlText w:val="•"/>
      <w:lvlJc w:val="left"/>
      <w:pPr>
        <w:ind w:left="253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8C3594">
      <w:start w:val="1"/>
      <w:numFmt w:val="bullet"/>
      <w:lvlText w:val="o"/>
      <w:lvlJc w:val="left"/>
      <w:pPr>
        <w:ind w:left="325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72C7E6">
      <w:start w:val="1"/>
      <w:numFmt w:val="bullet"/>
      <w:lvlText w:val="▪"/>
      <w:lvlJc w:val="left"/>
      <w:pPr>
        <w:ind w:left="397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340492">
      <w:start w:val="1"/>
      <w:numFmt w:val="bullet"/>
      <w:lvlText w:val="•"/>
      <w:lvlJc w:val="left"/>
      <w:pPr>
        <w:ind w:left="469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8EE58C">
      <w:start w:val="1"/>
      <w:numFmt w:val="bullet"/>
      <w:lvlText w:val="o"/>
      <w:lvlJc w:val="left"/>
      <w:pPr>
        <w:ind w:left="541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F298BE">
      <w:start w:val="1"/>
      <w:numFmt w:val="bullet"/>
      <w:lvlText w:val="▪"/>
      <w:lvlJc w:val="left"/>
      <w:pPr>
        <w:ind w:left="613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3A245A5"/>
    <w:multiLevelType w:val="hybridMultilevel"/>
    <w:tmpl w:val="26B6816E"/>
    <w:lvl w:ilvl="0" w:tplc="D31ED696">
      <w:start w:val="1"/>
      <w:numFmt w:val="decimal"/>
      <w:lvlText w:val="%1)"/>
      <w:lvlJc w:val="left"/>
      <w:pPr>
        <w:ind w:left="73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3C6AEC">
      <w:start w:val="1"/>
      <w:numFmt w:val="lowerLetter"/>
      <w:lvlText w:val="%2"/>
      <w:lvlJc w:val="left"/>
      <w:pPr>
        <w:ind w:left="129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E3638">
      <w:start w:val="1"/>
      <w:numFmt w:val="lowerRoman"/>
      <w:lvlText w:val="%3"/>
      <w:lvlJc w:val="left"/>
      <w:pPr>
        <w:ind w:left="201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22A4B2">
      <w:start w:val="1"/>
      <w:numFmt w:val="decimal"/>
      <w:lvlText w:val="%4"/>
      <w:lvlJc w:val="left"/>
      <w:pPr>
        <w:ind w:left="273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307EB4">
      <w:start w:val="1"/>
      <w:numFmt w:val="lowerLetter"/>
      <w:lvlText w:val="%5"/>
      <w:lvlJc w:val="left"/>
      <w:pPr>
        <w:ind w:left="345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28F7A0">
      <w:start w:val="1"/>
      <w:numFmt w:val="lowerRoman"/>
      <w:lvlText w:val="%6"/>
      <w:lvlJc w:val="left"/>
      <w:pPr>
        <w:ind w:left="417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EEDE12">
      <w:start w:val="1"/>
      <w:numFmt w:val="decimal"/>
      <w:lvlText w:val="%7"/>
      <w:lvlJc w:val="left"/>
      <w:pPr>
        <w:ind w:left="489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F4EFDC">
      <w:start w:val="1"/>
      <w:numFmt w:val="lowerLetter"/>
      <w:lvlText w:val="%8"/>
      <w:lvlJc w:val="left"/>
      <w:pPr>
        <w:ind w:left="561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1017CC">
      <w:start w:val="1"/>
      <w:numFmt w:val="lowerRoman"/>
      <w:lvlText w:val="%9"/>
      <w:lvlJc w:val="left"/>
      <w:pPr>
        <w:ind w:left="633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8DB3F09"/>
    <w:multiLevelType w:val="hybridMultilevel"/>
    <w:tmpl w:val="DA00D57A"/>
    <w:lvl w:ilvl="0" w:tplc="22CEAB5A">
      <w:start w:val="1"/>
      <w:numFmt w:val="bullet"/>
      <w:lvlText w:val="-"/>
      <w:lvlJc w:val="left"/>
      <w:pPr>
        <w:ind w:left="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4A6E6">
      <w:start w:val="1"/>
      <w:numFmt w:val="bullet"/>
      <w:lvlText w:val="o"/>
      <w:lvlJc w:val="left"/>
      <w:pPr>
        <w:ind w:left="109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F0734E">
      <w:start w:val="1"/>
      <w:numFmt w:val="bullet"/>
      <w:lvlText w:val="▪"/>
      <w:lvlJc w:val="left"/>
      <w:pPr>
        <w:ind w:left="181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22F872">
      <w:start w:val="1"/>
      <w:numFmt w:val="bullet"/>
      <w:lvlText w:val="•"/>
      <w:lvlJc w:val="left"/>
      <w:pPr>
        <w:ind w:left="253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E27174">
      <w:start w:val="1"/>
      <w:numFmt w:val="bullet"/>
      <w:lvlText w:val="o"/>
      <w:lvlJc w:val="left"/>
      <w:pPr>
        <w:ind w:left="325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3075E6">
      <w:start w:val="1"/>
      <w:numFmt w:val="bullet"/>
      <w:lvlText w:val="▪"/>
      <w:lvlJc w:val="left"/>
      <w:pPr>
        <w:ind w:left="397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E62060">
      <w:start w:val="1"/>
      <w:numFmt w:val="bullet"/>
      <w:lvlText w:val="•"/>
      <w:lvlJc w:val="left"/>
      <w:pPr>
        <w:ind w:left="469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4E6630">
      <w:start w:val="1"/>
      <w:numFmt w:val="bullet"/>
      <w:lvlText w:val="o"/>
      <w:lvlJc w:val="left"/>
      <w:pPr>
        <w:ind w:left="541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305928">
      <w:start w:val="1"/>
      <w:numFmt w:val="bullet"/>
      <w:lvlText w:val="▪"/>
      <w:lvlJc w:val="left"/>
      <w:pPr>
        <w:ind w:left="613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68023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609177">
    <w:abstractNumId w:val="2"/>
  </w:num>
  <w:num w:numId="3" w16cid:durableId="206733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BFBD98-D74B-42BC-B47B-7C650001928E}"/>
  </w:docVars>
  <w:rsids>
    <w:rsidRoot w:val="00481599"/>
    <w:rsid w:val="001D3C8B"/>
    <w:rsid w:val="003A63BB"/>
    <w:rsid w:val="00400B90"/>
    <w:rsid w:val="00481599"/>
    <w:rsid w:val="004844E5"/>
    <w:rsid w:val="005F2A30"/>
    <w:rsid w:val="006058C5"/>
    <w:rsid w:val="00691BDF"/>
    <w:rsid w:val="006A5E07"/>
    <w:rsid w:val="006B5EC5"/>
    <w:rsid w:val="006D67CA"/>
    <w:rsid w:val="007853FC"/>
    <w:rsid w:val="00803DD2"/>
    <w:rsid w:val="00820F06"/>
    <w:rsid w:val="00855CB6"/>
    <w:rsid w:val="009132E3"/>
    <w:rsid w:val="00A05662"/>
    <w:rsid w:val="00A126DA"/>
    <w:rsid w:val="00A27878"/>
    <w:rsid w:val="00B12127"/>
    <w:rsid w:val="00BC25F4"/>
    <w:rsid w:val="00C76F14"/>
    <w:rsid w:val="00CB364E"/>
    <w:rsid w:val="00CC63DA"/>
    <w:rsid w:val="00CD0F4A"/>
    <w:rsid w:val="00D62DCF"/>
    <w:rsid w:val="00D941B5"/>
    <w:rsid w:val="00DC33F9"/>
    <w:rsid w:val="00E05EAC"/>
    <w:rsid w:val="00EC3B45"/>
    <w:rsid w:val="00F2297E"/>
    <w:rsid w:val="00F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699"/>
  <w15:chartTrackingRefBased/>
  <w15:docId w15:val="{0492A06F-5398-4D8C-B815-FED7CC2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6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3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6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BFBD98-D74B-42BC-B47B-7C65000192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Zlotkowski, Marcin</dc:creator>
  <cp:keywords/>
  <dc:description/>
  <cp:lastModifiedBy>Zlotkowski, Marcin</cp:lastModifiedBy>
  <cp:revision>2</cp:revision>
  <dcterms:created xsi:type="dcterms:W3CDTF">2024-02-14T22:52:00Z</dcterms:created>
  <dcterms:modified xsi:type="dcterms:W3CDTF">2024-02-14T22:52:00Z</dcterms:modified>
</cp:coreProperties>
</file>